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แบบฝึกหัด</w:t>
      </w:r>
    </w:p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เรื่อง </w:t>
      </w:r>
      <w:r w:rsidR="00E5676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การไทเทรต</w:t>
      </w:r>
      <w:r w:rsidR="00444F1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แบบตกตะกอน</w:t>
      </w:r>
      <w:bookmarkStart w:id="0" w:name="_GoBack"/>
      <w:bookmarkEnd w:id="0"/>
    </w:p>
    <w:p w:rsidR="0019565E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44F16" w:rsidRPr="00444F16" w:rsidRDefault="00444F16" w:rsidP="00444F16">
      <w:pPr>
        <w:spacing w:after="0" w:line="240" w:lineRule="auto"/>
        <w:ind w:left="363" w:hanging="363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>1.</w:t>
      </w: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proofErr w:type="spellStart"/>
      <w:proofErr w:type="gramStart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>pAg</w:t>
      </w:r>
      <w:proofErr w:type="spellEnd"/>
      <w:proofErr w:type="gramEnd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กับ </w:t>
      </w:r>
      <w:proofErr w:type="spellStart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>pCl</w:t>
      </w:r>
      <w:proofErr w:type="spellEnd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มีความหมายว่าอย่างไร จงอธิบาย</w:t>
      </w:r>
    </w:p>
    <w:p w:rsidR="00444F16" w:rsidRPr="00444F16" w:rsidRDefault="00444F16" w:rsidP="00444F16">
      <w:pPr>
        <w:spacing w:after="0" w:line="240" w:lineRule="auto"/>
        <w:ind w:left="364" w:hanging="36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2.    </w:t>
      </w:r>
      <w:r w:rsidRPr="00444F1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จงบอกปัจจัยต่าง</w:t>
      </w: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ๆ ที่มีผลต่อการละลายของตะกอน</w:t>
      </w:r>
    </w:p>
    <w:p w:rsidR="00444F16" w:rsidRPr="00444F16" w:rsidRDefault="00444F16" w:rsidP="00444F16">
      <w:pPr>
        <w:tabs>
          <w:tab w:val="left" w:pos="5055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444F16">
        <w:rPr>
          <w:rFonts w:ascii="Angsana New" w:eastAsia="Calibri" w:hAnsi="Angsana New" w:cs="Cordia New"/>
          <w:sz w:val="32"/>
          <w:szCs w:val="32"/>
        </w:rPr>
        <w:t xml:space="preserve">3.    </w:t>
      </w:r>
      <w:r w:rsidRPr="00444F16">
        <w:rPr>
          <w:rFonts w:ascii="Angsana New" w:eastAsia="Times New Roman" w:hAnsi="Angsana New" w:cs="Angsana New"/>
          <w:sz w:val="32"/>
          <w:szCs w:val="32"/>
          <w:cs/>
        </w:rPr>
        <w:t>จงบอกถึงปัจจัยที่มีผลต่อลักษณะเส้นโค้งของการไทเทรตแบบตกตะกอน</w:t>
      </w:r>
    </w:p>
    <w:p w:rsidR="00444F16" w:rsidRPr="00444F16" w:rsidRDefault="00444F16" w:rsidP="00444F16">
      <w:pPr>
        <w:tabs>
          <w:tab w:val="left" w:pos="5055"/>
        </w:tabs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444F16">
        <w:rPr>
          <w:rFonts w:ascii="Angsana New" w:eastAsia="Calibri" w:hAnsi="Angsana New" w:cs="Angsana New"/>
          <w:sz w:val="32"/>
          <w:szCs w:val="32"/>
        </w:rPr>
        <w:t xml:space="preserve">4.  </w:t>
      </w:r>
      <w:r w:rsidRPr="00444F16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proofErr w:type="gramStart"/>
      <w:r w:rsidRPr="00444F16">
        <w:rPr>
          <w:rFonts w:ascii="Angsana New" w:eastAsia="Calibri" w:hAnsi="Angsana New" w:cs="Angsana New"/>
          <w:sz w:val="32"/>
          <w:szCs w:val="32"/>
          <w:cs/>
        </w:rPr>
        <w:t>จงอธิบายถึงวิธีการตรวจหาจุดยุติของการไทเทรตแบบตกตะกอนสามารถทำได้กี่วิธี  อะไรบ้าง</w:t>
      </w:r>
      <w:proofErr w:type="gramEnd"/>
    </w:p>
    <w:p w:rsidR="00444F16" w:rsidRPr="00444F16" w:rsidRDefault="00444F16" w:rsidP="00444F16">
      <w:pPr>
        <w:spacing w:after="0" w:line="240" w:lineRule="auto"/>
        <w:ind w:left="426" w:hanging="426"/>
        <w:contextualSpacing/>
        <w:rPr>
          <w:rFonts w:ascii="Angsana New" w:eastAsia="Cordia New" w:hAnsi="Angsana New" w:cs="AngsanaUPC"/>
          <w:noProof/>
          <w:sz w:val="32"/>
          <w:szCs w:val="32"/>
          <w:lang w:eastAsia="zh-CN"/>
        </w:rPr>
      </w:pPr>
      <w:r w:rsidRPr="00444F16">
        <w:rPr>
          <w:rFonts w:ascii="Angsana New" w:eastAsia="Cordia New" w:hAnsi="Angsana New" w:cs="AngsanaUPC"/>
          <w:noProof/>
          <w:sz w:val="32"/>
          <w:szCs w:val="32"/>
          <w:lang w:eastAsia="zh-CN"/>
        </w:rPr>
        <w:t xml:space="preserve">5.    </w:t>
      </w:r>
      <w:r w:rsidRPr="00444F16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>เพราะเหตุใดในการวิเคราะห์หาปริมาณคลอไรด์โดยวิธีของโวลฮาร์ดจึงมีหลายขั้นตอนกว่าการ         วิเคราะห์หาปริมาณของโบรไมด์</w:t>
      </w:r>
    </w:p>
    <w:p w:rsidR="00444F16" w:rsidRPr="00444F16" w:rsidRDefault="00444F16" w:rsidP="00444F16">
      <w:pPr>
        <w:spacing w:after="0" w:line="240" w:lineRule="auto"/>
        <w:contextualSpacing/>
        <w:jc w:val="both"/>
        <w:rPr>
          <w:rFonts w:ascii="Angsana New" w:eastAsia="Cordia New" w:hAnsi="Angsana New" w:cs="AngsanaUPC"/>
          <w:noProof/>
          <w:sz w:val="32"/>
          <w:szCs w:val="32"/>
          <w:lang w:eastAsia="zh-CN"/>
        </w:rPr>
      </w:pPr>
      <w:r w:rsidRPr="00444F16">
        <w:rPr>
          <w:rFonts w:ascii="Angsana New" w:eastAsia="Cordia New" w:hAnsi="Angsana New" w:cs="AngsanaUPC"/>
          <w:noProof/>
          <w:sz w:val="32"/>
          <w:szCs w:val="32"/>
          <w:lang w:eastAsia="zh-CN"/>
        </w:rPr>
        <w:t xml:space="preserve">6.   </w:t>
      </w:r>
      <w:r w:rsidRPr="00444F16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 xml:space="preserve"> จงอธิบายการไทเทรตแบบตกตะกอน</w:t>
      </w:r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โดยวิธี</w:t>
      </w:r>
      <w:proofErr w:type="spellStart"/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>ฟาแจนส์</w:t>
      </w:r>
      <w:proofErr w:type="spellEnd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ดัง</w:t>
      </w:r>
      <w:r w:rsidRPr="00444F16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>ต่อไปนี้</w:t>
      </w:r>
    </w:p>
    <w:p w:rsidR="00444F16" w:rsidRPr="00444F16" w:rsidRDefault="00444F16" w:rsidP="00444F16">
      <w:pPr>
        <w:tabs>
          <w:tab w:val="left" w:pos="238"/>
        </w:tabs>
        <w:spacing w:after="0" w:line="240" w:lineRule="auto"/>
        <w:contextualSpacing/>
        <w:rPr>
          <w:rFonts w:ascii="Angsana New" w:eastAsia="Cordia New" w:hAnsi="Angsana New" w:cs="AngsanaUPC"/>
          <w:noProof/>
          <w:sz w:val="32"/>
          <w:szCs w:val="32"/>
          <w:lang w:eastAsia="zh-CN"/>
        </w:rPr>
      </w:pPr>
      <w:r w:rsidRPr="00444F16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ab/>
        <w:t xml:space="preserve">  </w:t>
      </w:r>
      <w:r w:rsidRPr="00444F16">
        <w:rPr>
          <w:rFonts w:ascii="Angsana New" w:eastAsia="Cordia New" w:hAnsi="Angsana New" w:cs="AngsanaUPC"/>
          <w:noProof/>
          <w:sz w:val="32"/>
          <w:szCs w:val="32"/>
          <w:lang w:eastAsia="zh-CN"/>
        </w:rPr>
        <w:t xml:space="preserve">6.1 </w:t>
      </w:r>
      <w:r w:rsidRPr="00444F16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>หลักการของการไทเทรตแบบตกตะกอนโดย</w:t>
      </w:r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>วิธี</w:t>
      </w:r>
      <w:proofErr w:type="spellStart"/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>ฟาแจนส์</w:t>
      </w:r>
      <w:proofErr w:type="spellEnd"/>
    </w:p>
    <w:p w:rsidR="00444F16" w:rsidRPr="00444F16" w:rsidRDefault="00444F16" w:rsidP="00444F16">
      <w:pPr>
        <w:tabs>
          <w:tab w:val="left" w:pos="238"/>
        </w:tabs>
        <w:spacing w:after="0" w:line="240" w:lineRule="auto"/>
        <w:contextualSpacing/>
        <w:rPr>
          <w:rFonts w:ascii="Angsana New" w:eastAsia="Cordia New" w:hAnsi="Angsana New" w:cs="AngsanaUPC"/>
          <w:noProof/>
          <w:sz w:val="32"/>
          <w:szCs w:val="32"/>
          <w:lang w:eastAsia="zh-CN"/>
        </w:rPr>
      </w:pPr>
      <w:r w:rsidRPr="00444F16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ab/>
        <w:t xml:space="preserve">  </w:t>
      </w:r>
      <w:r w:rsidRPr="00444F16">
        <w:rPr>
          <w:rFonts w:ascii="Angsana New" w:eastAsia="Cordia New" w:hAnsi="Angsana New" w:cs="AngsanaUPC"/>
          <w:noProof/>
          <w:sz w:val="32"/>
          <w:szCs w:val="32"/>
          <w:lang w:eastAsia="zh-CN"/>
        </w:rPr>
        <w:t>6.2</w:t>
      </w:r>
      <w:r w:rsidRPr="00444F16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 xml:space="preserve"> ผลของ </w:t>
      </w:r>
      <w:r w:rsidRPr="00444F16">
        <w:rPr>
          <w:rFonts w:ascii="Angsana New" w:eastAsia="Cordia New" w:hAnsi="Angsana New" w:cs="AngsanaUPC"/>
          <w:noProof/>
          <w:sz w:val="32"/>
          <w:szCs w:val="32"/>
          <w:lang w:eastAsia="zh-CN"/>
        </w:rPr>
        <w:t xml:space="preserve">pH </w:t>
      </w:r>
      <w:r w:rsidRPr="00444F16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>ต่อการไทรเทรต</w:t>
      </w:r>
    </w:p>
    <w:p w:rsidR="00444F16" w:rsidRPr="00444F16" w:rsidRDefault="00444F16" w:rsidP="00444F16">
      <w:pPr>
        <w:tabs>
          <w:tab w:val="left" w:pos="238"/>
        </w:tabs>
        <w:spacing w:after="0" w:line="240" w:lineRule="auto"/>
        <w:contextualSpacing/>
        <w:rPr>
          <w:rFonts w:ascii="Angsana New" w:eastAsia="Cordia New" w:hAnsi="Angsana New" w:cs="AngsanaUPC"/>
          <w:noProof/>
          <w:sz w:val="32"/>
          <w:szCs w:val="32"/>
          <w:lang w:eastAsia="zh-CN"/>
        </w:rPr>
      </w:pPr>
      <w:r w:rsidRPr="00444F16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ab/>
      </w:r>
      <w:r w:rsidRPr="00444F16">
        <w:rPr>
          <w:rFonts w:ascii="Angsana New" w:eastAsia="Cordia New" w:hAnsi="Angsana New" w:cs="AngsanaUPC"/>
          <w:noProof/>
          <w:sz w:val="32"/>
          <w:szCs w:val="32"/>
          <w:lang w:eastAsia="zh-CN"/>
        </w:rPr>
        <w:t xml:space="preserve">  6.3</w:t>
      </w:r>
      <w:r w:rsidRPr="00444F16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 xml:space="preserve"> การเกิดสีของอินดิเคเตอร์</w:t>
      </w:r>
    </w:p>
    <w:p w:rsidR="00444F16" w:rsidRPr="00444F16" w:rsidRDefault="00444F16" w:rsidP="00444F16">
      <w:pPr>
        <w:tabs>
          <w:tab w:val="left" w:pos="238"/>
        </w:tabs>
        <w:spacing w:after="0" w:line="240" w:lineRule="auto"/>
        <w:contextualSpacing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>7.</w:t>
      </w: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444F1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จงบอกคุณสมบัติของ</w:t>
      </w:r>
      <w:proofErr w:type="spellStart"/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>อินดิเคเตอร์</w:t>
      </w:r>
      <w:proofErr w:type="spellEnd"/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>และตะกอน</w:t>
      </w:r>
      <w:r w:rsidRPr="00444F1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ที่เหมาะสมในการ</w:t>
      </w:r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>ไทเทรตแบบตกตะกอ</w:t>
      </w:r>
      <w:r w:rsidRPr="00444F1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น</w:t>
      </w:r>
    </w:p>
    <w:p w:rsidR="00444F16" w:rsidRPr="00444F16" w:rsidRDefault="00444F16" w:rsidP="00444F16">
      <w:pPr>
        <w:spacing w:after="0" w:line="240" w:lineRule="auto"/>
        <w:ind w:left="360" w:hanging="360"/>
        <w:contextualSpacing/>
        <w:rPr>
          <w:rFonts w:ascii="Angsana New" w:eastAsia="Cordia New" w:hAnsi="Angsana New" w:cs="AngsanaUPC"/>
          <w:sz w:val="32"/>
          <w:szCs w:val="32"/>
          <w:lang w:eastAsia="zh-CN"/>
        </w:rPr>
      </w:pP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8. </w:t>
      </w:r>
      <w:r w:rsidRPr="00444F1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  </w:t>
      </w:r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เกลือ </w:t>
      </w:r>
      <w:proofErr w:type="spellStart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>AgCl</w:t>
      </w:r>
      <w:proofErr w:type="spellEnd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proofErr w:type="gramStart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>0.005</w:t>
      </w:r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กรัม</w:t>
      </w:r>
      <w:proofErr w:type="gramEnd"/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ละลายได้ในน้ำ 1 ลิตร ณ อุณหภูมิ </w:t>
      </w: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25 </w:t>
      </w:r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>องศาเซลเซียส</w:t>
      </w: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จงคำนวณค่า </w:t>
      </w:r>
      <w:proofErr w:type="spellStart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>Ksp</w:t>
      </w:r>
      <w:proofErr w:type="spellEnd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ของ </w:t>
      </w:r>
      <w:proofErr w:type="spellStart"/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>AgCl</w:t>
      </w:r>
      <w:proofErr w:type="spellEnd"/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 </w:t>
      </w:r>
    </w:p>
    <w:p w:rsidR="00444F16" w:rsidRPr="00444F16" w:rsidRDefault="00444F16" w:rsidP="00444F16">
      <w:pPr>
        <w:spacing w:after="0" w:line="240" w:lineRule="auto"/>
        <w:ind w:left="360" w:hanging="360"/>
        <w:contextualSpacing/>
        <w:rPr>
          <w:rFonts w:ascii="Angsana New" w:eastAsia="Cordia New" w:hAnsi="Angsana New" w:cs="AngsanaUPC"/>
          <w:sz w:val="32"/>
          <w:szCs w:val="32"/>
          <w:lang w:eastAsia="zh-CN"/>
        </w:rPr>
      </w:pP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>9.</w:t>
      </w:r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ab/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สารละลายตัวอย่าง </w:t>
      </w:r>
      <w:proofErr w:type="spellStart"/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>NaCl</w:t>
      </w:r>
      <w:proofErr w:type="spellEnd"/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 </w:t>
      </w:r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0.5540 </w:t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กรัม ละลายในน้ำ </w:t>
      </w:r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100 </w:t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มิลลิลิตร </w:t>
      </w:r>
      <w:proofErr w:type="spellStart"/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>ปิเปต</w:t>
      </w:r>
      <w:proofErr w:type="spellEnd"/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มา </w:t>
      </w:r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25 </w:t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มิลลิลิตร ทำการไทเทรตกับสารละลายมาตรฐาน </w:t>
      </w:r>
      <w:proofErr w:type="spellStart"/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>AgCl</w:t>
      </w:r>
      <w:proofErr w:type="spellEnd"/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ความเข้มข้น </w:t>
      </w:r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0.1 M </w:t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ใช้ไป </w:t>
      </w:r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12.23 </w:t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>มิลลิลิตร จงคำนวณหาปริมาณของคลอ</w:t>
      </w:r>
      <w:proofErr w:type="spellStart"/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>ไรด์</w:t>
      </w:r>
      <w:proofErr w:type="spellEnd"/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>ในตัวอย่างในหน่วยของร้อยละ</w:t>
      </w:r>
    </w:p>
    <w:p w:rsidR="00444F16" w:rsidRPr="00444F16" w:rsidRDefault="00444F16" w:rsidP="00444F16">
      <w:pPr>
        <w:tabs>
          <w:tab w:val="left" w:pos="350"/>
        </w:tabs>
        <w:spacing w:after="0" w:line="240" w:lineRule="auto"/>
        <w:ind w:left="405" w:hanging="405"/>
        <w:contextualSpacing/>
        <w:rPr>
          <w:rFonts w:ascii="Angsana New" w:eastAsia="Cordia New" w:hAnsi="Angsana New" w:cs="AngsanaUPC"/>
          <w:sz w:val="32"/>
          <w:szCs w:val="32"/>
          <w:cs/>
          <w:lang w:eastAsia="zh-CN"/>
        </w:rPr>
      </w:pP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>10.</w:t>
      </w:r>
      <w:r w:rsidRPr="00444F16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>จงสร้างกราฟที่พลอตระ</w:t>
      </w:r>
      <w:proofErr w:type="spellStart"/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>หว่าง</w:t>
      </w:r>
      <w:proofErr w:type="spellEnd"/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 </w:t>
      </w:r>
      <w:proofErr w:type="spellStart"/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>pAg</w:t>
      </w:r>
      <w:proofErr w:type="spellEnd"/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กับ </w:t>
      </w:r>
      <w:proofErr w:type="spellStart"/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>pCl</w:t>
      </w:r>
      <w:proofErr w:type="spellEnd"/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และ </w:t>
      </w:r>
      <w:proofErr w:type="spellStart"/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>pAg</w:t>
      </w:r>
      <w:proofErr w:type="spellEnd"/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 </w:t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 xml:space="preserve">กับ </w:t>
      </w:r>
      <w:r w:rsidRPr="00444F16">
        <w:rPr>
          <w:rFonts w:ascii="Angsana New" w:eastAsia="Cordia New" w:hAnsi="Angsana New" w:cs="AngsanaUPC"/>
          <w:sz w:val="32"/>
          <w:szCs w:val="32"/>
          <w:lang w:eastAsia="zh-CN"/>
        </w:rPr>
        <w:t xml:space="preserve">pCrO4 </w:t>
      </w:r>
      <w:r w:rsidRPr="00444F16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>ในการไทเทรตแบบตกตะกอน พร้อมทั้งแสดงให้เห็นความแตกต่างของกราฟทั้งสอง</w:t>
      </w:r>
    </w:p>
    <w:p w:rsidR="00CD000A" w:rsidRDefault="00CD000A"/>
    <w:sectPr w:rsidR="00CD0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D"/>
    <w:rsid w:val="000452D9"/>
    <w:rsid w:val="0019565E"/>
    <w:rsid w:val="00444F16"/>
    <w:rsid w:val="00684BA8"/>
    <w:rsid w:val="00986BC3"/>
    <w:rsid w:val="00CD000A"/>
    <w:rsid w:val="00E5676A"/>
    <w:rsid w:val="00EC152D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PITAT</dc:creator>
  <cp:lastModifiedBy>PITAT</cp:lastModifiedBy>
  <cp:revision>8</cp:revision>
  <dcterms:created xsi:type="dcterms:W3CDTF">2019-09-06T07:36:00Z</dcterms:created>
  <dcterms:modified xsi:type="dcterms:W3CDTF">2019-09-06T08:30:00Z</dcterms:modified>
</cp:coreProperties>
</file>