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แบบฝึกหัด</w:t>
      </w:r>
    </w:p>
    <w:p w:rsidR="0019565E" w:rsidRPr="00684BA8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684BA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เรื่อง </w:t>
      </w:r>
      <w:r w:rsidR="00E5676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การไทเทรตกรด เบส</w:t>
      </w:r>
      <w:bookmarkStart w:id="0" w:name="_GoBack"/>
      <w:bookmarkEnd w:id="0"/>
    </w:p>
    <w:p w:rsidR="0019565E" w:rsidRDefault="0019565E" w:rsidP="0019565E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0452D9" w:rsidRPr="000452D9" w:rsidRDefault="000452D9" w:rsidP="000452D9">
      <w:pPr>
        <w:spacing w:after="0" w:line="240" w:lineRule="auto"/>
        <w:ind w:left="295" w:hanging="295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1. 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จงคำนวณหาความเข้มข้นของ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+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O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และ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OH</w:t>
      </w:r>
      <w:r w:rsidRPr="000452D9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ในสารละลาย เมื่อสารละลายมีค่า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หรือ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  ดังต่อไปนี้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>.1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=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2.5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  <w:t xml:space="preserve">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>.2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=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5.0  </w:t>
      </w:r>
    </w:p>
    <w:p w:rsid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>.3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=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4.5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</w:p>
    <w:p w:rsidR="000452D9" w:rsidRPr="000452D9" w:rsidRDefault="000452D9" w:rsidP="000452D9">
      <w:pPr>
        <w:spacing w:after="0" w:line="240" w:lineRule="auto"/>
        <w:ind w:left="294" w:firstLine="426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1.4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=</w:t>
      </w:r>
      <w:r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11.3  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2.   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จงบอกคุณสมบัติที่เหมาะสมของ</w:t>
      </w:r>
      <w:proofErr w:type="spellStart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อินดิเคเตอร์</w:t>
      </w:r>
      <w:proofErr w:type="spellEnd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ในการไทเทรตกรด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-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เบส</w:t>
      </w:r>
    </w:p>
    <w:p w:rsidR="000452D9" w:rsidRPr="000452D9" w:rsidRDefault="000452D9" w:rsidP="000452D9">
      <w:pPr>
        <w:spacing w:after="0" w:line="240" w:lineRule="auto"/>
        <w:ind w:left="294" w:right="-58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3.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กรด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อะ</w:t>
      </w:r>
      <w:proofErr w:type="spellEnd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ซิ</w:t>
      </w:r>
      <w:proofErr w:type="spellStart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ติก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(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COOH</w:t>
      </w:r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)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ที่มีความเข้มข้น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0.02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จะมีค่า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และ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เป็นเท่าใด </w:t>
      </w:r>
    </w:p>
    <w:p w:rsidR="000452D9" w:rsidRPr="000452D9" w:rsidRDefault="000452D9" w:rsidP="000452D9">
      <w:pPr>
        <w:spacing w:after="0" w:line="240" w:lineRule="auto"/>
        <w:ind w:left="294" w:right="-58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ab/>
        <w:t>(กำหนดให้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K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a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ของ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COOH =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1.8 x10</w:t>
      </w:r>
      <w:r w:rsidRPr="000452D9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-5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)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4.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เมื่อผสมสารละลายกรด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COOH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ความเข้มข้น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1.0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กับสารละลาย </w:t>
      </w:r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COONa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ความเข้มข้น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1.0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 จงคำนวณค่า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pH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และ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เมื่อเติมกรด หรือเบสดังนี้ (กำหนดให้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K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a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ของ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COOH =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1.8 x10</w:t>
      </w:r>
      <w:r w:rsidRPr="000452D9">
        <w:rPr>
          <w:rFonts w:ascii="Angsana New" w:eastAsia="Cordia New" w:hAnsi="Angsana New" w:cs="Angsana New"/>
          <w:sz w:val="32"/>
          <w:szCs w:val="32"/>
          <w:vertAlign w:val="superscript"/>
          <w:lang w:eastAsia="zh-CN"/>
        </w:rPr>
        <w:t>-5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)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    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4.1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สารละลาย </w:t>
      </w:r>
      <w:proofErr w:type="spellStart"/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HCl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ความเข้มข้น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0.1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มิลลิลิตร                 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      4.2 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สารละลาย </w:t>
      </w:r>
      <w:proofErr w:type="spellStart"/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NaOH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ความเข้มข้น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0.1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ปริมาตร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5.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จงอธิบายถึงปัจจัยต่าง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ๆ ที่มีผลต่อลักษณะเส้นโค้งของการไทเทรต</w:t>
      </w:r>
    </w:p>
    <w:p w:rsidR="000452D9" w:rsidRPr="000452D9" w:rsidRDefault="000452D9" w:rsidP="000452D9">
      <w:pPr>
        <w:spacing w:after="0" w:line="240" w:lineRule="auto"/>
        <w:ind w:left="294" w:hanging="294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6.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จงคำนวณหา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ของสารละลายที่จุดต่าง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ๆ ของการไทเทรตกรด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HCl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ความเข้มข้น 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>0.1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ปริมาตร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20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ด้วยเบส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NaOH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ความเข้มข้น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0.1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ปริมาตร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5.0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10.5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15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และ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30.0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</w:p>
    <w:p w:rsidR="000452D9" w:rsidRPr="000452D9" w:rsidRDefault="000452D9" w:rsidP="000452D9">
      <w:pPr>
        <w:spacing w:after="0" w:line="240" w:lineRule="auto"/>
        <w:ind w:left="322" w:hanging="308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7. 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ค่า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pK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I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ของ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เมธิลเรด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เท่ากับ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5.0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จงหาอัตราส่วนของ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อินดิเคเตอร์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ใน รูปแบบกรด และรูปแบบเบสของ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อินดิเคเตอร์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นี้ เมื่อสารละลายมีค่า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pH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เท่ากับ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3.0</w:t>
      </w:r>
      <w:proofErr w:type="gram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,  6.0</w:t>
      </w:r>
      <w:proofErr w:type="gramEnd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, 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และ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7.0</w:t>
      </w:r>
    </w:p>
    <w:p w:rsidR="000452D9" w:rsidRPr="000452D9" w:rsidRDefault="000452D9" w:rsidP="000452D9">
      <w:pPr>
        <w:spacing w:after="0" w:line="240" w:lineRule="auto"/>
        <w:ind w:left="322" w:hanging="322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8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>.</w:t>
      </w:r>
      <w:r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จงเขียนเส้นโค้งของการไทเทรตกรด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COOH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ความเข้มข้น 0.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05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ปริมาตร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20.00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มิลลิลิตร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ด้วยสารละลาย 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NaOH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ความเข้มข้น 0.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05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โม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ลาร์</w:t>
      </w:r>
      <w:proofErr w:type="spellEnd"/>
      <w:r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(กำหนดให้</w:t>
      </w:r>
      <w:proofErr w:type="spellStart"/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K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a</w:t>
      </w:r>
      <w:proofErr w:type="spellEnd"/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ของ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CH</w:t>
      </w:r>
      <w:r w:rsidRPr="000452D9">
        <w:rPr>
          <w:rFonts w:ascii="Angsana New" w:eastAsia="Cordia New" w:hAnsi="Angsana New" w:cs="Angsana New"/>
          <w:sz w:val="32"/>
          <w:szCs w:val="32"/>
          <w:vertAlign w:val="subscript"/>
          <w:lang w:eastAsia="zh-CN"/>
        </w:rPr>
        <w:t>3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COOH 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= 1.8 x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10</w:t>
      </w:r>
      <w:r w:rsidRPr="000452D9">
        <w:rPr>
          <w:rFonts w:ascii="Angsana New" w:eastAsia="Cordia New" w:hAnsi="Angsana New" w:cs="Angsana New"/>
          <w:sz w:val="32"/>
          <w:szCs w:val="32"/>
          <w:vertAlign w:val="superscript"/>
          <w:cs/>
          <w:lang w:eastAsia="zh-CN"/>
        </w:rPr>
        <w:t>-5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)</w:t>
      </w:r>
    </w:p>
    <w:p w:rsidR="000452D9" w:rsidRPr="000452D9" w:rsidRDefault="000452D9" w:rsidP="000452D9">
      <w:pPr>
        <w:spacing w:after="0" w:line="240" w:lineRule="auto"/>
        <w:ind w:left="322" w:hanging="322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>9.</w:t>
      </w: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ab/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จงอธิบายความหมายของสารละลาย</w:t>
      </w:r>
      <w:proofErr w:type="spellStart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แอมฟิ</w:t>
      </w:r>
      <w:proofErr w:type="spellEnd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โพ</w:t>
      </w:r>
      <w:proofErr w:type="spellStart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รติก</w:t>
      </w:r>
      <w:proofErr w:type="spellEnd"/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พร้อมยกตัวอย่างประกอบ</w:t>
      </w:r>
    </w:p>
    <w:p w:rsidR="0019565E" w:rsidRPr="000452D9" w:rsidRDefault="000452D9" w:rsidP="000452D9">
      <w:pPr>
        <w:spacing w:after="0" w:line="240" w:lineRule="auto"/>
        <w:ind w:left="322" w:hanging="322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0452D9">
        <w:rPr>
          <w:rFonts w:ascii="Angsana New" w:eastAsia="Cordia New" w:hAnsi="Angsana New" w:cs="Angsana New"/>
          <w:sz w:val="32"/>
          <w:szCs w:val="32"/>
          <w:lang w:eastAsia="zh-CN"/>
        </w:rPr>
        <w:t xml:space="preserve">10.  </w:t>
      </w:r>
      <w:r w:rsidRPr="000452D9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จงอธิบายวิธี</w:t>
      </w:r>
      <w:r w:rsidRPr="000452D9">
        <w:rPr>
          <w:rFonts w:ascii="Angsana New" w:eastAsia="Cordia New" w:hAnsi="Angsana New" w:cs="Angsana New"/>
          <w:sz w:val="32"/>
          <w:szCs w:val="32"/>
          <w:cs/>
          <w:lang w:eastAsia="zh-CN"/>
        </w:rPr>
        <w:t>การหาจุดยุติของการไทเทรตกรด-เบสในสารละลายที่ไม่ใช่น้ำ</w:t>
      </w:r>
    </w:p>
    <w:p w:rsidR="00CD000A" w:rsidRDefault="00CD000A"/>
    <w:sectPr w:rsidR="00CD0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D"/>
    <w:rsid w:val="000452D9"/>
    <w:rsid w:val="0019565E"/>
    <w:rsid w:val="00684BA8"/>
    <w:rsid w:val="00986BC3"/>
    <w:rsid w:val="00CD000A"/>
    <w:rsid w:val="00E5676A"/>
    <w:rsid w:val="00EC152D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PITAT</dc:creator>
  <cp:lastModifiedBy>PITAT</cp:lastModifiedBy>
  <cp:revision>7</cp:revision>
  <dcterms:created xsi:type="dcterms:W3CDTF">2019-09-06T07:36:00Z</dcterms:created>
  <dcterms:modified xsi:type="dcterms:W3CDTF">2019-09-06T08:19:00Z</dcterms:modified>
</cp:coreProperties>
</file>